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02BDA" w:rsidP="00D82E21">
                                <w:pPr>
                                  <w:rPr>
                                    <w:rFonts w:ascii="Arial" w:hAnsi="Arial" w:cs="Arial"/>
                                  </w:rPr>
                                </w:pPr>
                                <w:r w:rsidRPr="00D02BDA">
                                  <w:rPr>
                                    <w:rFonts w:ascii="Arial" w:hAnsi="Arial" w:cs="Arial"/>
                                    <w:b/>
                                  </w:rPr>
                                  <w:t>December 3, 2021</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02BDA" w:rsidP="00D82E21">
                          <w:pPr>
                            <w:rPr>
                              <w:rFonts w:ascii="Arial" w:hAnsi="Arial" w:cs="Arial"/>
                            </w:rPr>
                          </w:pPr>
                          <w:r w:rsidRPr="00D02BDA">
                            <w:rPr>
                              <w:rFonts w:ascii="Arial" w:hAnsi="Arial" w:cs="Arial"/>
                              <w:b/>
                            </w:rPr>
                            <w:t>December 3, 2021</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0368D2" w:rsidRPr="000368D2">
        <w:rPr>
          <w:rFonts w:ascii="Arial" w:hAnsi="Arial" w:cs="Arial"/>
          <w:sz w:val="20"/>
          <w:szCs w:val="20"/>
        </w:rPr>
        <w:t>Dustin Bare, Nora Brodnicki, Rick Carino, Amanda Coffey, Megan Feagles (Recorder), Eden Francis, Sharron Furno, Dawn Hendricks, Shalee Hodgson, Kerrie Hughes (Alternate Chair), Jason Kovac, Kara Leonard, Alice Lewis, Mike Mattson, Patricia McFarland, Tracy Nelson, Scot Pruyn (Chair), Lisa Reynolds, Terrie Sanne, Charles Siegfried, Casey Sims, Tara Sprehe, Sarah Steidl,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0368D2" w:rsidRPr="000368D2">
        <w:rPr>
          <w:rFonts w:ascii="Arial" w:hAnsi="Arial" w:cs="Arial"/>
          <w:sz w:val="20"/>
          <w:szCs w:val="20"/>
        </w:rPr>
        <w:t>Cindy Garner, 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0368D2" w:rsidRPr="000368D2">
        <w:rPr>
          <w:rFonts w:ascii="Arial" w:hAnsi="Arial" w:cs="Arial"/>
          <w:sz w:val="20"/>
          <w:szCs w:val="20"/>
        </w:rPr>
        <w:t>ASG George Burgess, Elizabeth Carney, Jeff Ennenga, Sue Goff, David Plotkin, Cynthia Risan, Dru Urbassik</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2D2B37">
        <w:rPr>
          <w:rFonts w:ascii="Arial" w:hAnsi="Arial" w:cs="Arial"/>
          <w:noProof/>
          <w:sz w:val="20"/>
        </w:rPr>
        <w:t>November 5,</w:t>
      </w:r>
      <w:r>
        <w:rPr>
          <w:rFonts w:ascii="Arial" w:hAnsi="Arial" w:cs="Arial"/>
          <w:noProof/>
          <w:sz w:val="20"/>
        </w:rPr>
        <w:t xml:space="preserve">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295A56" w:rsidRPr="00944AEC" w:rsidRDefault="00C81681" w:rsidP="00295A56">
      <w:pPr>
        <w:pStyle w:val="ListParagraph"/>
        <w:numPr>
          <w:ilvl w:val="1"/>
          <w:numId w:val="1"/>
        </w:numPr>
        <w:rPr>
          <w:rFonts w:ascii="Arial" w:hAnsi="Arial" w:cs="Arial"/>
          <w:sz w:val="20"/>
        </w:rPr>
      </w:pPr>
      <w:bookmarkStart w:id="0" w:name="_Hlk56415892"/>
      <w:r>
        <w:rPr>
          <w:rFonts w:ascii="Arial" w:hAnsi="Arial" w:cs="Arial"/>
          <w:b/>
          <w:sz w:val="20"/>
        </w:rPr>
        <w:t>Apprenticeship</w:t>
      </w:r>
    </w:p>
    <w:p w:rsidR="00944AEC" w:rsidRDefault="00C81681" w:rsidP="00C81681">
      <w:pPr>
        <w:pStyle w:val="ListParagraph"/>
        <w:ind w:left="1440"/>
        <w:rPr>
          <w:rFonts w:ascii="Arial" w:hAnsi="Arial" w:cs="Arial"/>
          <w:sz w:val="20"/>
        </w:rPr>
      </w:pPr>
      <w:r>
        <w:rPr>
          <w:rFonts w:ascii="Arial" w:hAnsi="Arial" w:cs="Arial"/>
          <w:sz w:val="20"/>
        </w:rPr>
        <w:t>Shelly Tracy presented</w:t>
      </w:r>
    </w:p>
    <w:p w:rsidR="00C81681" w:rsidRDefault="00C81681" w:rsidP="00944AEC">
      <w:pPr>
        <w:pStyle w:val="ListParagraph"/>
        <w:numPr>
          <w:ilvl w:val="2"/>
          <w:numId w:val="1"/>
        </w:numPr>
        <w:rPr>
          <w:rFonts w:ascii="Arial" w:hAnsi="Arial" w:cs="Arial"/>
          <w:sz w:val="20"/>
        </w:rPr>
      </w:pPr>
      <w:r>
        <w:rPr>
          <w:rFonts w:ascii="Arial" w:hAnsi="Arial" w:cs="Arial"/>
          <w:sz w:val="20"/>
        </w:rPr>
        <w:t>New course: APR-207PB</w:t>
      </w:r>
    </w:p>
    <w:p w:rsidR="008446CA" w:rsidRDefault="00852E68" w:rsidP="008446CA">
      <w:pPr>
        <w:pStyle w:val="ListParagraph"/>
        <w:numPr>
          <w:ilvl w:val="3"/>
          <w:numId w:val="1"/>
        </w:numPr>
        <w:rPr>
          <w:rFonts w:ascii="Arial" w:hAnsi="Arial" w:cs="Arial"/>
          <w:sz w:val="20"/>
        </w:rPr>
      </w:pPr>
      <w:r>
        <w:rPr>
          <w:rFonts w:ascii="Arial" w:hAnsi="Arial" w:cs="Arial"/>
          <w:sz w:val="20"/>
        </w:rPr>
        <w:t>Replacing APR-206PB following industry standards</w:t>
      </w:r>
    </w:p>
    <w:p w:rsidR="00C81681" w:rsidRDefault="00C81681" w:rsidP="00944AEC">
      <w:pPr>
        <w:pStyle w:val="ListParagraph"/>
        <w:numPr>
          <w:ilvl w:val="2"/>
          <w:numId w:val="1"/>
        </w:numPr>
        <w:rPr>
          <w:rFonts w:ascii="Arial" w:hAnsi="Arial" w:cs="Arial"/>
          <w:sz w:val="20"/>
        </w:rPr>
      </w:pPr>
      <w:r>
        <w:rPr>
          <w:rFonts w:ascii="Arial" w:hAnsi="Arial" w:cs="Arial"/>
          <w:sz w:val="20"/>
        </w:rPr>
        <w:t>Credits/Hours: APR-109PB</w:t>
      </w:r>
    </w:p>
    <w:p w:rsidR="00A77690" w:rsidRDefault="00A77690" w:rsidP="00A77690">
      <w:pPr>
        <w:pStyle w:val="ListParagraph"/>
        <w:numPr>
          <w:ilvl w:val="3"/>
          <w:numId w:val="1"/>
        </w:numPr>
        <w:rPr>
          <w:rFonts w:ascii="Arial" w:hAnsi="Arial" w:cs="Arial"/>
          <w:sz w:val="20"/>
        </w:rPr>
      </w:pPr>
      <w:r>
        <w:rPr>
          <w:rFonts w:ascii="Arial" w:hAnsi="Arial" w:cs="Arial"/>
          <w:sz w:val="20"/>
        </w:rPr>
        <w:t>Changing from 15 LECT, 1 credit to 20 LECT, 2 credits due to “updates and changes to the industry standards.”</w:t>
      </w:r>
    </w:p>
    <w:p w:rsidR="00FF68E4" w:rsidRDefault="00FF68E4" w:rsidP="00FF68E4">
      <w:pPr>
        <w:pStyle w:val="ListParagraph"/>
        <w:numPr>
          <w:ilvl w:val="2"/>
          <w:numId w:val="1"/>
        </w:numPr>
        <w:rPr>
          <w:rFonts w:ascii="Arial" w:hAnsi="Arial" w:cs="Arial"/>
          <w:sz w:val="20"/>
        </w:rPr>
      </w:pPr>
      <w:r>
        <w:rPr>
          <w:rFonts w:ascii="Arial" w:hAnsi="Arial" w:cs="Arial"/>
          <w:sz w:val="20"/>
        </w:rPr>
        <w:t>Course Inactivation: APR-206PB</w:t>
      </w:r>
    </w:p>
    <w:p w:rsidR="00852E68" w:rsidRDefault="00852E68" w:rsidP="00852E68">
      <w:pPr>
        <w:pStyle w:val="ListParagraph"/>
        <w:numPr>
          <w:ilvl w:val="3"/>
          <w:numId w:val="1"/>
        </w:numPr>
        <w:rPr>
          <w:rFonts w:ascii="Arial" w:hAnsi="Arial" w:cs="Arial"/>
          <w:sz w:val="20"/>
        </w:rPr>
      </w:pPr>
      <w:r>
        <w:rPr>
          <w:rFonts w:ascii="Arial" w:hAnsi="Arial" w:cs="Arial"/>
          <w:sz w:val="20"/>
        </w:rPr>
        <w:t>APR-207PB is replacing this course</w:t>
      </w:r>
    </w:p>
    <w:p w:rsidR="00C81681" w:rsidRDefault="00C81681" w:rsidP="00944AEC">
      <w:pPr>
        <w:pStyle w:val="ListParagraph"/>
        <w:numPr>
          <w:ilvl w:val="2"/>
          <w:numId w:val="1"/>
        </w:numPr>
        <w:rPr>
          <w:rFonts w:ascii="Arial" w:hAnsi="Arial" w:cs="Arial"/>
          <w:sz w:val="20"/>
        </w:rPr>
      </w:pPr>
      <w:r>
        <w:rPr>
          <w:rFonts w:ascii="Arial" w:hAnsi="Arial" w:cs="Arial"/>
          <w:sz w:val="20"/>
        </w:rPr>
        <w:t xml:space="preserve">Amendments: </w:t>
      </w:r>
      <w:r w:rsidRPr="00C81681">
        <w:rPr>
          <w:rFonts w:ascii="Arial" w:hAnsi="Arial" w:cs="Arial"/>
          <w:sz w:val="20"/>
        </w:rPr>
        <w:t>Construction Trades, General Apprenticeship (PB)</w:t>
      </w:r>
      <w:r>
        <w:rPr>
          <w:rFonts w:ascii="Arial" w:hAnsi="Arial" w:cs="Arial"/>
          <w:sz w:val="20"/>
        </w:rPr>
        <w:t xml:space="preserve"> AAS &amp;CC</w:t>
      </w:r>
    </w:p>
    <w:p w:rsidR="00C81681" w:rsidRPr="00E377A4" w:rsidRDefault="00C81681" w:rsidP="00E377A4">
      <w:pPr>
        <w:pStyle w:val="ListParagraph"/>
        <w:numPr>
          <w:ilvl w:val="3"/>
          <w:numId w:val="1"/>
        </w:numPr>
        <w:rPr>
          <w:rFonts w:ascii="Arial" w:hAnsi="Arial" w:cs="Arial"/>
          <w:sz w:val="20"/>
        </w:rPr>
      </w:pPr>
      <w:r>
        <w:rPr>
          <w:rFonts w:ascii="Arial" w:hAnsi="Arial" w:cs="Arial"/>
          <w:sz w:val="20"/>
        </w:rPr>
        <w:t>Updating credits for APR-109PB, removing APR-206PB, adding APR-207PB. AAS overall credits change from 90-95 to 90-97. CC overall credits change from 57-60 to 59-62.</w:t>
      </w:r>
    </w:p>
    <w:p w:rsidR="00295A56" w:rsidRPr="001B06F3" w:rsidRDefault="00295A56" w:rsidP="00295A56">
      <w:pPr>
        <w:pStyle w:val="ListParagraph"/>
        <w:ind w:left="360"/>
        <w:rPr>
          <w:rFonts w:ascii="Arial" w:hAnsi="Arial" w:cs="Arial"/>
          <w:i/>
          <w:sz w:val="20"/>
        </w:rPr>
      </w:pPr>
      <w:r w:rsidRPr="001B06F3">
        <w:rPr>
          <w:rFonts w:ascii="Arial" w:hAnsi="Arial" w:cs="Arial"/>
          <w:i/>
          <w:sz w:val="20"/>
        </w:rPr>
        <w:t>Motion to approve, approved</w:t>
      </w:r>
    </w:p>
    <w:p w:rsidR="00C516FE" w:rsidRPr="00C516FE" w:rsidRDefault="00C516FE" w:rsidP="00E76B72">
      <w:pPr>
        <w:pStyle w:val="ListParagraph"/>
        <w:numPr>
          <w:ilvl w:val="1"/>
          <w:numId w:val="1"/>
        </w:numPr>
        <w:rPr>
          <w:rFonts w:ascii="Arial" w:hAnsi="Arial" w:cs="Arial"/>
          <w:sz w:val="20"/>
        </w:rPr>
      </w:pPr>
      <w:r>
        <w:rPr>
          <w:rFonts w:ascii="Arial" w:hAnsi="Arial" w:cs="Arial"/>
          <w:b/>
          <w:sz w:val="20"/>
        </w:rPr>
        <w:t>Medical Billing and Coding</w:t>
      </w:r>
    </w:p>
    <w:p w:rsidR="00C516FE" w:rsidRDefault="00C516FE" w:rsidP="00C516FE">
      <w:pPr>
        <w:pStyle w:val="ListParagraph"/>
        <w:ind w:left="936"/>
        <w:rPr>
          <w:rFonts w:ascii="Arial" w:hAnsi="Arial" w:cs="Arial"/>
          <w:sz w:val="20"/>
        </w:rPr>
      </w:pPr>
      <w:r>
        <w:rPr>
          <w:rFonts w:ascii="Arial" w:hAnsi="Arial" w:cs="Arial"/>
          <w:sz w:val="20"/>
        </w:rPr>
        <w:t>Cindy Garner presented</w:t>
      </w:r>
    </w:p>
    <w:p w:rsidR="00C516FE" w:rsidRDefault="00C516FE" w:rsidP="00C516FE">
      <w:pPr>
        <w:pStyle w:val="ListParagraph"/>
        <w:numPr>
          <w:ilvl w:val="2"/>
          <w:numId w:val="1"/>
        </w:numPr>
        <w:rPr>
          <w:rFonts w:ascii="Arial" w:hAnsi="Arial" w:cs="Arial"/>
          <w:sz w:val="20"/>
        </w:rPr>
      </w:pPr>
      <w:r>
        <w:rPr>
          <w:rFonts w:ascii="Arial" w:hAnsi="Arial" w:cs="Arial"/>
          <w:sz w:val="20"/>
        </w:rPr>
        <w:t xml:space="preserve">Credits/Hours: </w:t>
      </w:r>
    </w:p>
    <w:p w:rsidR="00C516FE" w:rsidRDefault="00C516FE" w:rsidP="00C516FE">
      <w:pPr>
        <w:pStyle w:val="ListParagraph"/>
        <w:numPr>
          <w:ilvl w:val="3"/>
          <w:numId w:val="1"/>
        </w:numPr>
        <w:rPr>
          <w:rFonts w:ascii="Arial" w:hAnsi="Arial" w:cs="Arial"/>
          <w:sz w:val="20"/>
        </w:rPr>
      </w:pPr>
      <w:r>
        <w:rPr>
          <w:rFonts w:ascii="Arial" w:hAnsi="Arial" w:cs="Arial"/>
          <w:sz w:val="20"/>
        </w:rPr>
        <w:t>MBC-116 changing from 33 LECT, 3 credits to 44 LECT, 4 credits. Absorbing material from MBC-140 which will be inactivated</w:t>
      </w:r>
    </w:p>
    <w:p w:rsidR="00C516FE" w:rsidRDefault="00C516FE" w:rsidP="00C516FE">
      <w:pPr>
        <w:pStyle w:val="ListParagraph"/>
        <w:numPr>
          <w:ilvl w:val="3"/>
          <w:numId w:val="1"/>
        </w:numPr>
        <w:rPr>
          <w:rFonts w:ascii="Arial" w:hAnsi="Arial" w:cs="Arial"/>
          <w:sz w:val="20"/>
        </w:rPr>
      </w:pPr>
      <w:r>
        <w:rPr>
          <w:rFonts w:ascii="Arial" w:hAnsi="Arial" w:cs="Arial"/>
          <w:sz w:val="20"/>
        </w:rPr>
        <w:t>MBC-125 changing from 11 LECT, 22 LE/LA, to 22 LECT. Staying at 2 credits</w:t>
      </w:r>
      <w:r w:rsidR="002C389F">
        <w:rPr>
          <w:rFonts w:ascii="Arial" w:hAnsi="Arial" w:cs="Arial"/>
          <w:sz w:val="20"/>
        </w:rPr>
        <w:t>. Discovered through teaching the course that lecture format was more suitable.</w:t>
      </w:r>
    </w:p>
    <w:p w:rsidR="00036609" w:rsidRDefault="00036609" w:rsidP="004619D0">
      <w:pPr>
        <w:pStyle w:val="ListParagraph"/>
        <w:numPr>
          <w:ilvl w:val="4"/>
          <w:numId w:val="1"/>
        </w:numPr>
        <w:rPr>
          <w:rFonts w:ascii="Arial" w:hAnsi="Arial" w:cs="Arial"/>
          <w:sz w:val="20"/>
        </w:rPr>
      </w:pPr>
      <w:r w:rsidRPr="00036609">
        <w:rPr>
          <w:rFonts w:ascii="Arial" w:hAnsi="Arial" w:cs="Arial"/>
          <w:sz w:val="20"/>
        </w:rPr>
        <w:t>Suggestion to add “demonstrate” to SLO #5 so that it is more assessable.</w:t>
      </w:r>
    </w:p>
    <w:p w:rsidR="00957AEB" w:rsidRPr="00036609" w:rsidRDefault="00957AEB" w:rsidP="004619D0">
      <w:pPr>
        <w:pStyle w:val="ListParagraph"/>
        <w:numPr>
          <w:ilvl w:val="4"/>
          <w:numId w:val="1"/>
        </w:numPr>
        <w:rPr>
          <w:rFonts w:ascii="Arial" w:hAnsi="Arial" w:cs="Arial"/>
          <w:sz w:val="20"/>
        </w:rPr>
      </w:pPr>
      <w:r w:rsidRPr="00036609">
        <w:rPr>
          <w:rFonts w:ascii="Arial" w:hAnsi="Arial" w:cs="Arial"/>
          <w:sz w:val="20"/>
        </w:rPr>
        <w:t xml:space="preserve">SLO #5 </w:t>
      </w:r>
      <w:r w:rsidR="00036609">
        <w:rPr>
          <w:rFonts w:ascii="Arial" w:hAnsi="Arial" w:cs="Arial"/>
          <w:sz w:val="20"/>
        </w:rPr>
        <w:t>updated</w:t>
      </w:r>
      <w:r w:rsidRPr="00036609">
        <w:rPr>
          <w:rFonts w:ascii="Arial" w:hAnsi="Arial" w:cs="Arial"/>
          <w:sz w:val="20"/>
        </w:rPr>
        <w:t xml:space="preserve"> to “demonstrate the ability to code…”</w:t>
      </w:r>
    </w:p>
    <w:p w:rsidR="00C516FE" w:rsidRDefault="00C516FE" w:rsidP="00C516FE">
      <w:pPr>
        <w:pStyle w:val="ListParagraph"/>
        <w:numPr>
          <w:ilvl w:val="2"/>
          <w:numId w:val="1"/>
        </w:numPr>
        <w:rPr>
          <w:rFonts w:ascii="Arial" w:hAnsi="Arial" w:cs="Arial"/>
          <w:sz w:val="20"/>
        </w:rPr>
      </w:pPr>
      <w:r>
        <w:rPr>
          <w:rFonts w:ascii="Arial" w:hAnsi="Arial" w:cs="Arial"/>
          <w:sz w:val="20"/>
        </w:rPr>
        <w:t>Course inactivations: MBC-140 will be absorbed into MBC-116</w:t>
      </w:r>
    </w:p>
    <w:p w:rsidR="00C516FE" w:rsidRDefault="00C516FE" w:rsidP="00C516FE">
      <w:pPr>
        <w:pStyle w:val="ListParagraph"/>
        <w:numPr>
          <w:ilvl w:val="2"/>
          <w:numId w:val="1"/>
        </w:numPr>
        <w:rPr>
          <w:rFonts w:ascii="Arial" w:hAnsi="Arial" w:cs="Arial"/>
          <w:sz w:val="20"/>
        </w:rPr>
      </w:pPr>
      <w:r>
        <w:rPr>
          <w:rFonts w:ascii="Arial" w:hAnsi="Arial" w:cs="Arial"/>
          <w:sz w:val="20"/>
        </w:rPr>
        <w:t>Program Amendment: Medical Billing and Coding CC removing MBC-140 and upping the credits for MBC-116. No overall credits change.</w:t>
      </w:r>
    </w:p>
    <w:p w:rsidR="00C516FE" w:rsidRPr="00C516FE" w:rsidRDefault="00C516FE" w:rsidP="00C516FE">
      <w:pPr>
        <w:pStyle w:val="ListParagraph"/>
        <w:ind w:left="360"/>
        <w:rPr>
          <w:rFonts w:ascii="Arial" w:hAnsi="Arial" w:cs="Arial"/>
          <w:i/>
          <w:sz w:val="20"/>
        </w:rPr>
      </w:pPr>
      <w:r w:rsidRPr="001B06F3">
        <w:rPr>
          <w:rFonts w:ascii="Arial" w:hAnsi="Arial" w:cs="Arial"/>
          <w:i/>
          <w:sz w:val="20"/>
        </w:rPr>
        <w:t>Motion to approve, approved</w:t>
      </w:r>
    </w:p>
    <w:p w:rsidR="00E76B72" w:rsidRPr="00E76B72" w:rsidRDefault="00944AEC" w:rsidP="00E76B72">
      <w:pPr>
        <w:pStyle w:val="ListParagraph"/>
        <w:numPr>
          <w:ilvl w:val="1"/>
          <w:numId w:val="1"/>
        </w:numPr>
        <w:rPr>
          <w:rFonts w:ascii="Arial" w:hAnsi="Arial" w:cs="Arial"/>
          <w:sz w:val="20"/>
        </w:rPr>
      </w:pPr>
      <w:r>
        <w:rPr>
          <w:rFonts w:ascii="Arial" w:hAnsi="Arial" w:cs="Arial"/>
          <w:b/>
          <w:sz w:val="20"/>
        </w:rPr>
        <w:t>Program Amendments</w:t>
      </w:r>
      <w:r w:rsidR="0022469A">
        <w:rPr>
          <w:rFonts w:ascii="Arial" w:hAnsi="Arial" w:cs="Arial"/>
          <w:b/>
          <w:sz w:val="20"/>
        </w:rPr>
        <w:t xml:space="preserve"> due to Course Inactivations</w:t>
      </w:r>
    </w:p>
    <w:p w:rsidR="0022469A" w:rsidRPr="00F66AAF" w:rsidRDefault="0022469A" w:rsidP="00C516FE">
      <w:pPr>
        <w:pStyle w:val="ListParagraph"/>
        <w:ind w:left="1440"/>
        <w:rPr>
          <w:rFonts w:ascii="Arial" w:hAnsi="Arial" w:cs="Arial"/>
          <w:b/>
          <w:sz w:val="20"/>
        </w:rPr>
      </w:pPr>
      <w:r>
        <w:rPr>
          <w:rFonts w:ascii="Arial" w:hAnsi="Arial" w:cs="Arial"/>
          <w:sz w:val="20"/>
        </w:rPr>
        <w:t>Megan Feagles presented</w:t>
      </w:r>
    </w:p>
    <w:p w:rsidR="0022469A" w:rsidRPr="00F66AAF" w:rsidRDefault="0022469A" w:rsidP="0022469A">
      <w:pPr>
        <w:pStyle w:val="ListParagraph"/>
        <w:numPr>
          <w:ilvl w:val="2"/>
          <w:numId w:val="1"/>
        </w:numPr>
        <w:rPr>
          <w:rFonts w:ascii="Arial" w:hAnsi="Arial" w:cs="Arial"/>
          <w:b/>
          <w:sz w:val="20"/>
        </w:rPr>
      </w:pPr>
      <w:r w:rsidRPr="00F66AAF">
        <w:rPr>
          <w:rFonts w:ascii="Arial" w:hAnsi="Arial" w:cs="Arial"/>
          <w:sz w:val="20"/>
        </w:rPr>
        <w:t>ANT-231, EC-200, ENG-266, GER-201, GER-202, GER-203</w:t>
      </w:r>
      <w:r>
        <w:rPr>
          <w:rFonts w:ascii="Arial" w:hAnsi="Arial" w:cs="Arial"/>
          <w:sz w:val="20"/>
        </w:rPr>
        <w:t xml:space="preserve"> will be inactive starting in 2022 so they are being removed from these programs.</w:t>
      </w:r>
    </w:p>
    <w:tbl>
      <w:tblPr>
        <w:tblW w:w="7740" w:type="dxa"/>
        <w:tblLook w:val="04A0" w:firstRow="1" w:lastRow="0" w:firstColumn="1" w:lastColumn="0" w:noHBand="0" w:noVBand="1"/>
      </w:tblPr>
      <w:tblGrid>
        <w:gridCol w:w="2251"/>
        <w:gridCol w:w="5489"/>
      </w:tblGrid>
      <w:tr w:rsidR="0022469A" w:rsidRPr="00F66AAF" w:rsidTr="00100C34">
        <w:trPr>
          <w:trHeight w:val="300"/>
        </w:trPr>
        <w:tc>
          <w:tcPr>
            <w:tcW w:w="2251" w:type="dxa"/>
            <w:tcBorders>
              <w:top w:val="single" w:sz="4" w:space="0" w:color="5B9BD5"/>
              <w:left w:val="nil"/>
              <w:bottom w:val="nil"/>
              <w:right w:val="nil"/>
            </w:tcBorders>
            <w:shd w:val="clear" w:color="5B9BD5" w:fill="5B9BD5"/>
            <w:noWrap/>
            <w:vAlign w:val="bottom"/>
            <w:hideMark/>
          </w:tcPr>
          <w:p w:rsidR="0022469A" w:rsidRPr="00F66AAF" w:rsidRDefault="0022469A" w:rsidP="00100C34">
            <w:pPr>
              <w:rPr>
                <w:rFonts w:eastAsia="Times New Roman" w:cs="Calibri"/>
                <w:b/>
                <w:bCs/>
                <w:color w:val="FFFFFF"/>
                <w:sz w:val="22"/>
                <w:szCs w:val="22"/>
              </w:rPr>
            </w:pPr>
            <w:r w:rsidRPr="00F66AAF">
              <w:rPr>
                <w:rFonts w:eastAsia="Times New Roman" w:cs="Calibri"/>
                <w:b/>
                <w:bCs/>
                <w:color w:val="FFFFFF"/>
                <w:sz w:val="22"/>
                <w:szCs w:val="22"/>
              </w:rPr>
              <w:t>Prog</w:t>
            </w:r>
          </w:p>
        </w:tc>
        <w:tc>
          <w:tcPr>
            <w:tcW w:w="5489" w:type="dxa"/>
            <w:tcBorders>
              <w:top w:val="single" w:sz="4" w:space="0" w:color="5B9BD5"/>
              <w:left w:val="nil"/>
              <w:bottom w:val="nil"/>
              <w:right w:val="nil"/>
            </w:tcBorders>
            <w:shd w:val="clear" w:color="5B9BD5" w:fill="5B9BD5"/>
            <w:noWrap/>
            <w:vAlign w:val="bottom"/>
            <w:hideMark/>
          </w:tcPr>
          <w:p w:rsidR="0022469A" w:rsidRPr="00F66AAF" w:rsidRDefault="0022469A" w:rsidP="00100C34">
            <w:pPr>
              <w:rPr>
                <w:rFonts w:eastAsia="Times New Roman" w:cs="Calibri"/>
                <w:b/>
                <w:bCs/>
                <w:color w:val="FFFFFF"/>
                <w:sz w:val="22"/>
                <w:szCs w:val="22"/>
              </w:rPr>
            </w:pPr>
            <w:r w:rsidRPr="00F66AAF">
              <w:rPr>
                <w:rFonts w:eastAsia="Times New Roman" w:cs="Calibri"/>
                <w:b/>
                <w:bCs/>
                <w:color w:val="FFFFFF"/>
                <w:sz w:val="22"/>
                <w:szCs w:val="22"/>
              </w:rPr>
              <w:t>Courses Being Inactivated</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proofErr w:type="gramStart"/>
            <w:r w:rsidRPr="00F66AAF">
              <w:rPr>
                <w:rFonts w:eastAsia="Times New Roman" w:cs="Calibri"/>
                <w:color w:val="000000"/>
                <w:sz w:val="22"/>
                <w:szCs w:val="22"/>
              </w:rPr>
              <w:t>AA.OTELEMED</w:t>
            </w:r>
            <w:proofErr w:type="gramEnd"/>
          </w:p>
        </w:tc>
        <w:tc>
          <w:tcPr>
            <w:tcW w:w="5489"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ENG-266, GER-201, GER-202, GER-203</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proofErr w:type="gramStart"/>
            <w:r w:rsidRPr="00F66AAF">
              <w:rPr>
                <w:rFonts w:eastAsia="Times New Roman" w:cs="Calibri"/>
                <w:color w:val="000000"/>
                <w:sz w:val="22"/>
                <w:szCs w:val="22"/>
              </w:rPr>
              <w:t>AA.OREGONTRANSFER</w:t>
            </w:r>
            <w:proofErr w:type="gramEnd"/>
          </w:p>
        </w:tc>
        <w:tc>
          <w:tcPr>
            <w:tcW w:w="5489"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ANT-231, EC-200, ENG-266, GER-201, GER-202, GER-203</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tcPr>
          <w:p w:rsidR="0022469A" w:rsidRPr="00F66AAF" w:rsidRDefault="0022469A" w:rsidP="00100C34">
            <w:pPr>
              <w:rPr>
                <w:rFonts w:eastAsia="Times New Roman" w:cs="Calibri"/>
                <w:color w:val="000000"/>
                <w:sz w:val="22"/>
                <w:szCs w:val="22"/>
              </w:rPr>
            </w:pPr>
            <w:proofErr w:type="gramStart"/>
            <w:r>
              <w:rPr>
                <w:rFonts w:eastAsia="Times New Roman" w:cs="Calibri"/>
                <w:color w:val="000000"/>
                <w:sz w:val="22"/>
                <w:szCs w:val="22"/>
              </w:rPr>
              <w:lastRenderedPageBreak/>
              <w:t>AS.TBIOLOGY</w:t>
            </w:r>
            <w:proofErr w:type="gramEnd"/>
          </w:p>
        </w:tc>
        <w:tc>
          <w:tcPr>
            <w:tcW w:w="5489" w:type="dxa"/>
            <w:tcBorders>
              <w:top w:val="single" w:sz="4" w:space="0" w:color="5B9BD5"/>
              <w:left w:val="nil"/>
              <w:bottom w:val="nil"/>
              <w:right w:val="nil"/>
            </w:tcBorders>
            <w:shd w:val="clear" w:color="auto" w:fill="auto"/>
            <w:noWrap/>
            <w:vAlign w:val="bottom"/>
          </w:tcPr>
          <w:p w:rsidR="0022469A" w:rsidRPr="00F66AAF" w:rsidRDefault="0022469A" w:rsidP="00100C34">
            <w:pPr>
              <w:rPr>
                <w:rFonts w:eastAsia="Times New Roman" w:cs="Calibri"/>
                <w:color w:val="000000"/>
                <w:sz w:val="22"/>
                <w:szCs w:val="22"/>
              </w:rPr>
            </w:pPr>
            <w:r w:rsidRPr="00747DCA">
              <w:rPr>
                <w:rFonts w:eastAsia="Times New Roman" w:cs="Calibri"/>
                <w:color w:val="000000"/>
                <w:sz w:val="22"/>
                <w:szCs w:val="22"/>
              </w:rPr>
              <w:t>ANT-231, EC-200, ENG-266, GER-201, GER-202, GER-203</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proofErr w:type="gramStart"/>
            <w:r w:rsidRPr="00F66AAF">
              <w:rPr>
                <w:rFonts w:eastAsia="Times New Roman" w:cs="Calibri"/>
                <w:color w:val="000000"/>
                <w:sz w:val="22"/>
                <w:szCs w:val="22"/>
              </w:rPr>
              <w:t>AS.GFENGINEER</w:t>
            </w:r>
            <w:proofErr w:type="gramEnd"/>
          </w:p>
        </w:tc>
        <w:tc>
          <w:tcPr>
            <w:tcW w:w="5489"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GER-201, GER-202, GER-203</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proofErr w:type="gramStart"/>
            <w:r w:rsidRPr="00F66AAF">
              <w:rPr>
                <w:rFonts w:eastAsia="Times New Roman" w:cs="Calibri"/>
                <w:color w:val="000000"/>
                <w:sz w:val="22"/>
                <w:szCs w:val="22"/>
              </w:rPr>
              <w:t>AS.OTBUSINESS</w:t>
            </w:r>
            <w:proofErr w:type="gramEnd"/>
          </w:p>
        </w:tc>
        <w:tc>
          <w:tcPr>
            <w:tcW w:w="5489"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ANT-231, EC-200, ENG-266, GER-201, GER-202, GER-203</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proofErr w:type="gramStart"/>
            <w:r w:rsidRPr="00F66AAF">
              <w:rPr>
                <w:rFonts w:eastAsia="Times New Roman" w:cs="Calibri"/>
                <w:color w:val="000000"/>
                <w:sz w:val="22"/>
                <w:szCs w:val="22"/>
              </w:rPr>
              <w:t>AS.OTCOMPSCIENCE</w:t>
            </w:r>
            <w:proofErr w:type="gramEnd"/>
          </w:p>
        </w:tc>
        <w:tc>
          <w:tcPr>
            <w:tcW w:w="5489"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ANT-231, EC-200, ENG-266, GER-201, GER-202, GER-203</w:t>
            </w:r>
          </w:p>
        </w:tc>
      </w:tr>
      <w:tr w:rsidR="0022469A" w:rsidRPr="00F66AAF" w:rsidTr="00100C34">
        <w:trPr>
          <w:trHeight w:val="300"/>
        </w:trPr>
        <w:tc>
          <w:tcPr>
            <w:tcW w:w="2251"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AGS.GENERAL</w:t>
            </w:r>
          </w:p>
        </w:tc>
        <w:tc>
          <w:tcPr>
            <w:tcW w:w="5489" w:type="dxa"/>
            <w:tcBorders>
              <w:top w:val="single" w:sz="4" w:space="0" w:color="5B9BD5"/>
              <w:left w:val="nil"/>
              <w:bottom w:val="nil"/>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ANT-231, EC-200, ENG-266, GER-201, GER-202, GER-203</w:t>
            </w:r>
          </w:p>
        </w:tc>
      </w:tr>
      <w:tr w:rsidR="0022469A" w:rsidRPr="00F66AAF" w:rsidTr="00EF146B">
        <w:trPr>
          <w:trHeight w:val="300"/>
        </w:trPr>
        <w:tc>
          <w:tcPr>
            <w:tcW w:w="2251" w:type="dxa"/>
            <w:tcBorders>
              <w:top w:val="single" w:sz="4" w:space="0" w:color="5B9BD5"/>
              <w:left w:val="nil"/>
              <w:bottom w:val="single" w:sz="4" w:space="0" w:color="5B9BD5"/>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NA.OTM</w:t>
            </w:r>
          </w:p>
        </w:tc>
        <w:tc>
          <w:tcPr>
            <w:tcW w:w="5489" w:type="dxa"/>
            <w:tcBorders>
              <w:top w:val="single" w:sz="4" w:space="0" w:color="5B9BD5"/>
              <w:left w:val="nil"/>
              <w:bottom w:val="single" w:sz="4" w:space="0" w:color="5B9BD5"/>
              <w:right w:val="nil"/>
            </w:tcBorders>
            <w:shd w:val="clear" w:color="auto" w:fill="auto"/>
            <w:noWrap/>
            <w:vAlign w:val="bottom"/>
            <w:hideMark/>
          </w:tcPr>
          <w:p w:rsidR="0022469A" w:rsidRPr="00F66AAF" w:rsidRDefault="0022469A" w:rsidP="00100C34">
            <w:pPr>
              <w:rPr>
                <w:rFonts w:eastAsia="Times New Roman" w:cs="Calibri"/>
                <w:color w:val="000000"/>
                <w:sz w:val="22"/>
                <w:szCs w:val="22"/>
              </w:rPr>
            </w:pPr>
            <w:r w:rsidRPr="00F66AAF">
              <w:rPr>
                <w:rFonts w:eastAsia="Times New Roman" w:cs="Calibri"/>
                <w:color w:val="000000"/>
                <w:sz w:val="22"/>
                <w:szCs w:val="22"/>
              </w:rPr>
              <w:t>ANT-231, EC-200, ENG-266, GER-201, GER-202, GER-203</w:t>
            </w:r>
          </w:p>
        </w:tc>
      </w:tr>
      <w:tr w:rsidR="00EF146B" w:rsidRPr="00F66AAF" w:rsidTr="00EF146B">
        <w:trPr>
          <w:trHeight w:val="300"/>
        </w:trPr>
        <w:tc>
          <w:tcPr>
            <w:tcW w:w="2251" w:type="dxa"/>
            <w:tcBorders>
              <w:top w:val="single" w:sz="4" w:space="0" w:color="5B9BD5"/>
              <w:left w:val="nil"/>
              <w:bottom w:val="single" w:sz="4" w:space="0" w:color="5B9BD5"/>
              <w:right w:val="nil"/>
            </w:tcBorders>
            <w:shd w:val="clear" w:color="auto" w:fill="auto"/>
            <w:noWrap/>
            <w:vAlign w:val="bottom"/>
          </w:tcPr>
          <w:p w:rsidR="00EF146B" w:rsidRPr="00F66AAF" w:rsidRDefault="00EF146B" w:rsidP="00EF146B">
            <w:pPr>
              <w:rPr>
                <w:rFonts w:eastAsia="Times New Roman" w:cs="Calibri"/>
                <w:color w:val="000000"/>
                <w:sz w:val="22"/>
                <w:szCs w:val="22"/>
              </w:rPr>
            </w:pPr>
            <w:proofErr w:type="gramStart"/>
            <w:r w:rsidRPr="00EF146B">
              <w:rPr>
                <w:rFonts w:eastAsia="Times New Roman" w:cs="Calibri"/>
                <w:color w:val="000000"/>
                <w:sz w:val="22"/>
                <w:szCs w:val="22"/>
              </w:rPr>
              <w:t>AA.ENGLIT</w:t>
            </w:r>
            <w:proofErr w:type="gramEnd"/>
          </w:p>
        </w:tc>
        <w:tc>
          <w:tcPr>
            <w:tcW w:w="5489" w:type="dxa"/>
            <w:tcBorders>
              <w:top w:val="single" w:sz="4" w:space="0" w:color="5B9BD5"/>
              <w:left w:val="nil"/>
              <w:bottom w:val="single" w:sz="4" w:space="0" w:color="5B9BD5"/>
              <w:right w:val="nil"/>
            </w:tcBorders>
            <w:shd w:val="clear" w:color="auto" w:fill="auto"/>
            <w:noWrap/>
            <w:vAlign w:val="bottom"/>
          </w:tcPr>
          <w:p w:rsidR="00EF146B" w:rsidRPr="00F66AAF" w:rsidRDefault="00EF146B" w:rsidP="00100C34">
            <w:pPr>
              <w:rPr>
                <w:rFonts w:eastAsia="Times New Roman" w:cs="Calibri"/>
                <w:color w:val="000000"/>
                <w:sz w:val="22"/>
                <w:szCs w:val="22"/>
              </w:rPr>
            </w:pPr>
            <w:r w:rsidRPr="00EF146B">
              <w:rPr>
                <w:rFonts w:eastAsia="Times New Roman" w:cs="Calibri"/>
                <w:color w:val="000000"/>
                <w:sz w:val="22"/>
                <w:szCs w:val="22"/>
              </w:rPr>
              <w:t>ANT-231, EC-200, ENG-266, WR-148, WR-149</w:t>
            </w:r>
          </w:p>
        </w:tc>
      </w:tr>
      <w:tr w:rsidR="00EF146B" w:rsidRPr="00F66AAF" w:rsidTr="006F4131">
        <w:trPr>
          <w:trHeight w:val="300"/>
        </w:trPr>
        <w:tc>
          <w:tcPr>
            <w:tcW w:w="2251" w:type="dxa"/>
            <w:tcBorders>
              <w:top w:val="single" w:sz="4" w:space="0" w:color="5B9BD5"/>
              <w:left w:val="nil"/>
              <w:bottom w:val="single" w:sz="4" w:space="0" w:color="5B9BD5"/>
              <w:right w:val="nil"/>
            </w:tcBorders>
            <w:shd w:val="clear" w:color="auto" w:fill="auto"/>
            <w:noWrap/>
            <w:vAlign w:val="bottom"/>
          </w:tcPr>
          <w:p w:rsidR="00EF146B" w:rsidRPr="00EF146B" w:rsidRDefault="00EF146B" w:rsidP="00EF146B">
            <w:pPr>
              <w:rPr>
                <w:rFonts w:eastAsia="Times New Roman" w:cs="Calibri"/>
                <w:color w:val="000000"/>
                <w:sz w:val="22"/>
                <w:szCs w:val="22"/>
              </w:rPr>
            </w:pPr>
            <w:proofErr w:type="gramStart"/>
            <w:r w:rsidRPr="00EF146B">
              <w:rPr>
                <w:rFonts w:eastAsia="Times New Roman" w:cs="Calibri"/>
                <w:color w:val="000000"/>
                <w:sz w:val="22"/>
                <w:szCs w:val="22"/>
              </w:rPr>
              <w:t>AS.UOENGLISH</w:t>
            </w:r>
            <w:proofErr w:type="gramEnd"/>
          </w:p>
        </w:tc>
        <w:tc>
          <w:tcPr>
            <w:tcW w:w="5489" w:type="dxa"/>
            <w:tcBorders>
              <w:top w:val="single" w:sz="4" w:space="0" w:color="5B9BD5"/>
              <w:left w:val="nil"/>
              <w:bottom w:val="single" w:sz="4" w:space="0" w:color="5B9BD5"/>
              <w:right w:val="nil"/>
            </w:tcBorders>
            <w:shd w:val="clear" w:color="auto" w:fill="auto"/>
            <w:noWrap/>
            <w:vAlign w:val="bottom"/>
          </w:tcPr>
          <w:p w:rsidR="00EF146B" w:rsidRPr="00F66AAF" w:rsidRDefault="00EF146B" w:rsidP="00100C34">
            <w:pPr>
              <w:rPr>
                <w:rFonts w:eastAsia="Times New Roman" w:cs="Calibri"/>
                <w:color w:val="000000"/>
                <w:sz w:val="22"/>
                <w:szCs w:val="22"/>
              </w:rPr>
            </w:pPr>
            <w:r>
              <w:rPr>
                <w:rFonts w:eastAsia="Times New Roman" w:cs="Calibri"/>
                <w:color w:val="000000"/>
                <w:sz w:val="22"/>
                <w:szCs w:val="22"/>
              </w:rPr>
              <w:t>ANT-231, ENG-266, PSY-110</w:t>
            </w:r>
          </w:p>
        </w:tc>
      </w:tr>
      <w:tr w:rsidR="006F4131" w:rsidRPr="00F66AAF" w:rsidTr="00100C34">
        <w:trPr>
          <w:trHeight w:val="300"/>
        </w:trPr>
        <w:tc>
          <w:tcPr>
            <w:tcW w:w="2251" w:type="dxa"/>
            <w:tcBorders>
              <w:top w:val="single" w:sz="4" w:space="0" w:color="5B9BD5"/>
              <w:left w:val="nil"/>
              <w:bottom w:val="nil"/>
              <w:right w:val="nil"/>
            </w:tcBorders>
            <w:shd w:val="clear" w:color="auto" w:fill="auto"/>
            <w:noWrap/>
            <w:vAlign w:val="bottom"/>
          </w:tcPr>
          <w:p w:rsidR="006F4131" w:rsidRPr="00EF146B" w:rsidRDefault="006F4131" w:rsidP="006F4131">
            <w:pPr>
              <w:rPr>
                <w:rFonts w:eastAsia="Times New Roman" w:cs="Calibri"/>
                <w:color w:val="000000"/>
                <w:sz w:val="22"/>
                <w:szCs w:val="22"/>
              </w:rPr>
            </w:pPr>
            <w:proofErr w:type="gramStart"/>
            <w:r>
              <w:rPr>
                <w:rFonts w:eastAsia="Times New Roman" w:cs="Calibri"/>
                <w:color w:val="000000"/>
                <w:sz w:val="22"/>
                <w:szCs w:val="22"/>
              </w:rPr>
              <w:t>AS.PSUMUSIC</w:t>
            </w:r>
            <w:proofErr w:type="gramEnd"/>
          </w:p>
        </w:tc>
        <w:tc>
          <w:tcPr>
            <w:tcW w:w="5489" w:type="dxa"/>
            <w:tcBorders>
              <w:top w:val="single" w:sz="4" w:space="0" w:color="5B9BD5"/>
              <w:left w:val="nil"/>
              <w:bottom w:val="nil"/>
              <w:right w:val="nil"/>
            </w:tcBorders>
            <w:shd w:val="clear" w:color="auto" w:fill="auto"/>
            <w:noWrap/>
            <w:vAlign w:val="bottom"/>
          </w:tcPr>
          <w:p w:rsidR="006F4131" w:rsidRPr="00F66AAF" w:rsidRDefault="006F4131" w:rsidP="006F4131">
            <w:pPr>
              <w:rPr>
                <w:rFonts w:eastAsia="Times New Roman" w:cs="Calibri"/>
                <w:color w:val="000000"/>
                <w:sz w:val="22"/>
                <w:szCs w:val="22"/>
              </w:rPr>
            </w:pPr>
            <w:r w:rsidRPr="00F66AAF">
              <w:rPr>
                <w:rFonts w:eastAsia="Times New Roman" w:cs="Calibri"/>
                <w:color w:val="000000"/>
                <w:sz w:val="22"/>
                <w:szCs w:val="22"/>
              </w:rPr>
              <w:t>ANT-231, EC-200, ENG-266, GER-201, GER-202, GER-203</w:t>
            </w:r>
          </w:p>
        </w:tc>
      </w:tr>
    </w:tbl>
    <w:p w:rsidR="006F4131" w:rsidRPr="00E54C4C" w:rsidRDefault="006F4131" w:rsidP="00E54C4C">
      <w:pPr>
        <w:rPr>
          <w:rFonts w:ascii="Arial" w:hAnsi="Arial" w:cs="Arial"/>
          <w:i/>
          <w:sz w:val="20"/>
        </w:rPr>
      </w:pPr>
    </w:p>
    <w:p w:rsidR="00E76B72" w:rsidRPr="00944AEC" w:rsidRDefault="00E76B72" w:rsidP="00944AEC">
      <w:pPr>
        <w:rPr>
          <w:rFonts w:ascii="Arial" w:hAnsi="Arial" w:cs="Arial"/>
          <w:i/>
          <w:sz w:val="20"/>
        </w:rPr>
      </w:pPr>
      <w:r w:rsidRPr="00944AEC">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Default="00E54C4C" w:rsidP="00944AEC">
      <w:pPr>
        <w:pStyle w:val="ListParagraph"/>
        <w:numPr>
          <w:ilvl w:val="1"/>
          <w:numId w:val="1"/>
        </w:numPr>
        <w:rPr>
          <w:rFonts w:ascii="Arial" w:hAnsi="Arial" w:cs="Arial"/>
          <w:b/>
          <w:sz w:val="20"/>
        </w:rPr>
      </w:pPr>
      <w:r>
        <w:rPr>
          <w:rFonts w:ascii="Arial" w:hAnsi="Arial" w:cs="Arial"/>
          <w:b/>
          <w:sz w:val="20"/>
        </w:rPr>
        <w:t>Membership Vacancy</w:t>
      </w:r>
    </w:p>
    <w:p w:rsidR="000368D2" w:rsidRPr="000604D9" w:rsidRDefault="00E54C4C" w:rsidP="000604D9">
      <w:pPr>
        <w:pStyle w:val="ListParagraph"/>
        <w:numPr>
          <w:ilvl w:val="2"/>
          <w:numId w:val="1"/>
        </w:numPr>
        <w:rPr>
          <w:rFonts w:ascii="Arial" w:hAnsi="Arial" w:cs="Arial"/>
          <w:sz w:val="20"/>
        </w:rPr>
      </w:pPr>
      <w:r w:rsidRPr="00E54C4C">
        <w:rPr>
          <w:rFonts w:ascii="Arial" w:hAnsi="Arial" w:cs="Arial"/>
          <w:sz w:val="20"/>
        </w:rPr>
        <w:t>Alice Lewis is retiring starting Winter Term</w:t>
      </w:r>
      <w:r w:rsidR="000604D9">
        <w:rPr>
          <w:rFonts w:ascii="Arial" w:hAnsi="Arial" w:cs="Arial"/>
          <w:sz w:val="20"/>
        </w:rPr>
        <w:t xml:space="preserve"> so that spot will be vacant.</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FE6AF3" w:rsidRDefault="00FE6AF3" w:rsidP="00944AEC">
      <w:pPr>
        <w:pStyle w:val="ListParagraph"/>
        <w:numPr>
          <w:ilvl w:val="1"/>
          <w:numId w:val="1"/>
        </w:numPr>
        <w:rPr>
          <w:rFonts w:ascii="Arial" w:hAnsi="Arial" w:cs="Arial"/>
          <w:sz w:val="20"/>
        </w:rPr>
      </w:pPr>
      <w:r w:rsidRPr="00FE6AF3">
        <w:rPr>
          <w:rFonts w:ascii="Arial" w:hAnsi="Arial" w:cs="Arial"/>
          <w:sz w:val="20"/>
        </w:rPr>
        <w:t>Kerrie announced a study abroad program for France and Barcelona</w:t>
      </w:r>
      <w:r w:rsidR="00F152A0">
        <w:rPr>
          <w:rFonts w:ascii="Arial" w:hAnsi="Arial" w:cs="Arial"/>
          <w:sz w:val="20"/>
        </w:rPr>
        <w:t xml:space="preserve"> in 22/SP</w:t>
      </w:r>
      <w:r w:rsidR="009B627F">
        <w:rPr>
          <w:rFonts w:ascii="Arial" w:hAnsi="Arial" w:cs="Arial"/>
          <w:sz w:val="20"/>
        </w:rPr>
        <w:t xml:space="preserve">. Ireland </w:t>
      </w:r>
      <w:r w:rsidR="00F152A0">
        <w:rPr>
          <w:rFonts w:ascii="Arial" w:hAnsi="Arial" w:cs="Arial"/>
          <w:sz w:val="20"/>
        </w:rPr>
        <w:t>for 22/FA.</w:t>
      </w:r>
      <w:bookmarkStart w:id="1" w:name="_GoBack"/>
      <w:bookmarkEnd w:id="1"/>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D02BDA" w:rsidRPr="00D02BDA">
              <w:rPr>
                <w:rFonts w:ascii="Arial" w:hAnsi="Arial" w:cs="Arial"/>
                <w:b/>
              </w:rPr>
              <w:t xml:space="preserve">January 7,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1E39"/>
    <w:rsid w:val="000173C9"/>
    <w:rsid w:val="0002066D"/>
    <w:rsid w:val="00027CC0"/>
    <w:rsid w:val="00036609"/>
    <w:rsid w:val="000368D2"/>
    <w:rsid w:val="000604D9"/>
    <w:rsid w:val="000C1504"/>
    <w:rsid w:val="00111949"/>
    <w:rsid w:val="00130FF7"/>
    <w:rsid w:val="001430BF"/>
    <w:rsid w:val="001D7331"/>
    <w:rsid w:val="002204C8"/>
    <w:rsid w:val="0022469A"/>
    <w:rsid w:val="00241A94"/>
    <w:rsid w:val="00282352"/>
    <w:rsid w:val="00295A56"/>
    <w:rsid w:val="002C389F"/>
    <w:rsid w:val="002D2B37"/>
    <w:rsid w:val="00332E11"/>
    <w:rsid w:val="00334C55"/>
    <w:rsid w:val="00344EE8"/>
    <w:rsid w:val="003B77B5"/>
    <w:rsid w:val="003B78B8"/>
    <w:rsid w:val="0044720D"/>
    <w:rsid w:val="004D7D2F"/>
    <w:rsid w:val="004E3B8F"/>
    <w:rsid w:val="00523787"/>
    <w:rsid w:val="006C749E"/>
    <w:rsid w:val="006F0E69"/>
    <w:rsid w:val="006F4131"/>
    <w:rsid w:val="007372CF"/>
    <w:rsid w:val="007A310B"/>
    <w:rsid w:val="0080784C"/>
    <w:rsid w:val="008446CA"/>
    <w:rsid w:val="00852E68"/>
    <w:rsid w:val="00867FE8"/>
    <w:rsid w:val="00883070"/>
    <w:rsid w:val="0089191D"/>
    <w:rsid w:val="008A68A8"/>
    <w:rsid w:val="008E0AE1"/>
    <w:rsid w:val="00944AEC"/>
    <w:rsid w:val="00957AEB"/>
    <w:rsid w:val="009826B5"/>
    <w:rsid w:val="009A39D8"/>
    <w:rsid w:val="009B627F"/>
    <w:rsid w:val="009E0C7D"/>
    <w:rsid w:val="00A77690"/>
    <w:rsid w:val="00B10771"/>
    <w:rsid w:val="00B15799"/>
    <w:rsid w:val="00B429AD"/>
    <w:rsid w:val="00B5503D"/>
    <w:rsid w:val="00B72F24"/>
    <w:rsid w:val="00BB13BB"/>
    <w:rsid w:val="00BE3A60"/>
    <w:rsid w:val="00C006BA"/>
    <w:rsid w:val="00C32433"/>
    <w:rsid w:val="00C454F0"/>
    <w:rsid w:val="00C516FE"/>
    <w:rsid w:val="00C60127"/>
    <w:rsid w:val="00C765DC"/>
    <w:rsid w:val="00C81681"/>
    <w:rsid w:val="00C915F8"/>
    <w:rsid w:val="00CA03E4"/>
    <w:rsid w:val="00CE24BC"/>
    <w:rsid w:val="00CF7012"/>
    <w:rsid w:val="00D02BDA"/>
    <w:rsid w:val="00D3371F"/>
    <w:rsid w:val="00D82E21"/>
    <w:rsid w:val="00D854BD"/>
    <w:rsid w:val="00DD7BD3"/>
    <w:rsid w:val="00DF1030"/>
    <w:rsid w:val="00E377A4"/>
    <w:rsid w:val="00E43D2F"/>
    <w:rsid w:val="00E54C4C"/>
    <w:rsid w:val="00E7022F"/>
    <w:rsid w:val="00E76B72"/>
    <w:rsid w:val="00E91856"/>
    <w:rsid w:val="00E9736C"/>
    <w:rsid w:val="00EC0D62"/>
    <w:rsid w:val="00EF146B"/>
    <w:rsid w:val="00F04CD7"/>
    <w:rsid w:val="00F152A0"/>
    <w:rsid w:val="00F947B1"/>
    <w:rsid w:val="00FE6AF3"/>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509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24</cp:revision>
  <dcterms:created xsi:type="dcterms:W3CDTF">2021-09-02T16:50:00Z</dcterms:created>
  <dcterms:modified xsi:type="dcterms:W3CDTF">2021-12-03T16:32:00Z</dcterms:modified>
</cp:coreProperties>
</file>